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方正黑体_GBK" w:hAnsi="方正小标宋_GBK" w:eastAsia="方正黑体_GBK" w:cs="方正小标宋_GBK"/>
          <w:spacing w:val="-6"/>
          <w:sz w:val="32"/>
          <w:szCs w:val="32"/>
          <w:lang w:val="en-US" w:eastAsia="zh-CN"/>
        </w:rPr>
      </w:pPr>
      <w:r>
        <w:rPr>
          <w:rFonts w:hint="default" w:ascii="方正黑体_GBK" w:hAnsi="方正小标宋_GBK" w:eastAsia="方正黑体_GBK" w:cs="方正小标宋_GBK"/>
          <w:spacing w:val="-6"/>
          <w:sz w:val="32"/>
          <w:szCs w:val="32"/>
          <w:lang w:eastAsia="zh-CN"/>
        </w:rPr>
        <w:t>附件</w:t>
      </w:r>
      <w:r>
        <w:rPr>
          <w:rFonts w:hint="eastAsia" w:ascii="方正黑体_GBK" w:hAnsi="方正小标宋_GBK" w:eastAsia="方正黑体_GBK" w:cs="方正小标宋_GBK"/>
          <w:spacing w:val="-6"/>
          <w:sz w:val="32"/>
          <w:szCs w:val="32"/>
          <w:lang w:val="en-US" w:eastAsia="zh-CN"/>
        </w:rPr>
        <w:t>1</w:t>
      </w:r>
    </w:p>
    <w:p>
      <w:pPr>
        <w:jc w:val="left"/>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eastAsia="zh-CN"/>
        </w:rPr>
        <w:t>教育行政部门编制中等职业教育质量年度报告参考提纲</w:t>
      </w:r>
    </w:p>
    <w:p>
      <w:pPr>
        <w:jc w:val="center"/>
        <w:rPr>
          <w:rFonts w:hint="eastAsia" w:ascii="方正小标宋简体" w:hAnsi="方正小标宋简体" w:eastAsia="方正小标宋简体" w:cs="方正小标宋简体"/>
          <w:sz w:val="44"/>
          <w:szCs w:val="44"/>
        </w:rPr>
      </w:pP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1.基本情况</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1.1规模结构。包括区域内中等职业学校总数、总体办学规模、高中阶段普职招生比例、试点举办综合高中班等数据及与上一年度相比的变化情况。不同隶属（省属、市属、县属）、不同性质（公办、民办）学校数量及各自的办学规模及与上一年度相比的变化情况。</w:t>
      </w:r>
    </w:p>
    <w:p>
      <w:pPr>
        <w:spacing w:line="360" w:lineRule="auto"/>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1.2资源投入。包括生均校园占地面积、生均校舍建筑面积、生均教学仪器设备值、生均实训实习工位数、纸质图书、电子图书等基本办学条件数据及与上一年度相比的变化情况。</w:t>
      </w:r>
    </w:p>
    <w:p>
      <w:pPr>
        <w:pStyle w:val="5"/>
        <w:spacing w:before="0" w:beforeAutospacing="0" w:after="0" w:afterAutospacing="0" w:line="360" w:lineRule="auto"/>
        <w:ind w:firstLine="640" w:firstLineChars="200"/>
        <w:jc w:val="both"/>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rPr>
        <w:t>1.3师资队伍。包括生师比、“双师”素质专任专业教师总数、教职员工总数、专任教师总数、硕士研究生及以上学历专任教师占比、高级专业技术职务专任教师占比等数据及与上一年度相比的变化情况。</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【典型案例1】</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2.学生发展</w:t>
      </w:r>
    </w:p>
    <w:p>
      <w:pPr>
        <w:spacing w:line="360" w:lineRule="auto"/>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2.1三全育人。包括推动“三全育人”工作情况、德智体美劳“五育并举”工作情况等，体育课专任教师数、美育课专任教师数、思想政治课专任教师数、德育管理人员数、名班主任工作室等数据及与上一年度相比的变化情况。</w:t>
      </w:r>
    </w:p>
    <w:p>
      <w:pPr>
        <w:spacing w:line="360" w:lineRule="auto"/>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2.2学生素质。包括学生思想政治状况、文化基础课合格率、专业技能合格率、体质测评合格率、毕业率、资格证书（职业技能等级证书）获取情况等数据及与上一年度相比的变化情况。</w:t>
      </w:r>
    </w:p>
    <w:p>
      <w:pPr>
        <w:spacing w:line="360" w:lineRule="auto"/>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2.3</w:t>
      </w:r>
      <w:r>
        <w:rPr>
          <w:rFonts w:hint="eastAsia" w:ascii="方正仿宋_GBK" w:hAnsi="方正仿宋_GBK" w:eastAsia="方正仿宋_GBK" w:cs="方正仿宋_GBK"/>
          <w:sz w:val="32"/>
          <w:szCs w:val="32"/>
          <w:shd w:val="clear" w:color="auto" w:fill="FFFFFF"/>
        </w:rPr>
        <w:t>技能大赛。包括培育和传承工匠精神、学生技能大赛工作情况、职业技能大赛获奖尤其全国职业院校技能大赛学生获奖数及全国职业技能大赛学生获奖数情况等数据及与上一年度相比的变化情况。</w:t>
      </w:r>
    </w:p>
    <w:p>
      <w:pPr>
        <w:spacing w:line="360" w:lineRule="auto"/>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2.4就业创业。</w:t>
      </w:r>
      <w:r>
        <w:rPr>
          <w:rFonts w:hint="eastAsia" w:ascii="方正仿宋_GBK" w:hAnsi="方正仿宋_GBK" w:eastAsia="方正仿宋_GBK" w:cs="方正仿宋_GBK"/>
          <w:sz w:val="32"/>
          <w:szCs w:val="32"/>
          <w:shd w:val="clear" w:color="auto" w:fill="FFFFFF"/>
        </w:rPr>
        <w:t>包括毕业生总数、就业（含升学）人数、就业率、毕业生专业对口就业率、就业去向（含规模以上企业就业人数和中小微企业就业人数）、就业单位对毕业生职业素养及职业技能的满意度、初次就业月收入、创业率等数据及与上一年度相比的变化情况，疫情对学生就业的影响及教育行政部门的帮扶措施。</w:t>
      </w:r>
    </w:p>
    <w:p>
      <w:pPr>
        <w:spacing w:line="360" w:lineRule="auto"/>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2.5升学情况。</w:t>
      </w:r>
      <w:r>
        <w:rPr>
          <w:rFonts w:hint="eastAsia" w:ascii="方正仿宋_GBK" w:hAnsi="方正仿宋_GBK" w:eastAsia="方正仿宋_GBK" w:cs="方正仿宋_GBK"/>
          <w:sz w:val="32"/>
          <w:szCs w:val="32"/>
          <w:shd w:val="clear" w:color="auto" w:fill="FFFFFF"/>
        </w:rPr>
        <w:t>包括升入高职比例、升入本科比例及与上一年度相比的变化情况。包括对口单招升学情况、分类招生考试升学情况、通过技能拔尖人才免试升学情况、“3+2”和五年一贯制转段升学情况、其他升学情况（含留学、成人教育、自学考试）。</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【典型案例2】 </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3.教育教学</w:t>
      </w:r>
    </w:p>
    <w:p>
      <w:pPr>
        <w:pStyle w:val="5"/>
        <w:spacing w:before="0" w:beforeAutospacing="0" w:after="0" w:afterAutospacing="0" w:line="360" w:lineRule="auto"/>
        <w:ind w:firstLine="640" w:firstLineChars="200"/>
        <w:jc w:val="both"/>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rPr>
        <w:t>3.1</w:t>
      </w:r>
      <w:r>
        <w:rPr>
          <w:rFonts w:hint="eastAsia" w:ascii="方正仿宋_GBK" w:hAnsi="方正仿宋_GBK" w:eastAsia="方正仿宋_GBK" w:cs="方正仿宋_GBK"/>
          <w:kern w:val="2"/>
          <w:sz w:val="32"/>
          <w:szCs w:val="32"/>
          <w:shd w:val="clear" w:color="auto" w:fill="FFFFFF"/>
        </w:rPr>
        <w:t xml:space="preserve"> </w:t>
      </w:r>
      <w:r>
        <w:rPr>
          <w:rFonts w:hint="eastAsia" w:ascii="方正仿宋_GBK" w:hAnsi="方正仿宋_GBK" w:eastAsia="方正仿宋_GBK" w:cs="方正仿宋_GBK"/>
          <w:kern w:val="2"/>
          <w:sz w:val="32"/>
          <w:szCs w:val="32"/>
        </w:rPr>
        <w:t>专业布局。</w:t>
      </w:r>
      <w:r>
        <w:rPr>
          <w:rFonts w:hint="eastAsia" w:ascii="方正仿宋_GBK" w:hAnsi="方正仿宋_GBK" w:eastAsia="方正仿宋_GBK" w:cs="方正仿宋_GBK"/>
          <w:sz w:val="32"/>
          <w:szCs w:val="32"/>
          <w:shd w:val="clear" w:color="auto" w:fill="FFFFFF"/>
        </w:rPr>
        <w:t>包括专业设置动态调整与结构优化、专业与当地产业吻合度、贡献率等。</w:t>
      </w:r>
    </w:p>
    <w:p>
      <w:pPr>
        <w:pStyle w:val="5"/>
        <w:spacing w:before="0" w:beforeAutospacing="0" w:after="0" w:afterAutospacing="0" w:line="360" w:lineRule="auto"/>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kern w:val="2"/>
          <w:sz w:val="32"/>
          <w:szCs w:val="32"/>
        </w:rPr>
        <w:t>3.2</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kern w:val="2"/>
          <w:sz w:val="32"/>
          <w:szCs w:val="32"/>
        </w:rPr>
        <w:t>培养模式。</w:t>
      </w:r>
      <w:r>
        <w:rPr>
          <w:rFonts w:hint="eastAsia" w:ascii="方正仿宋_GBK" w:hAnsi="方正仿宋_GBK" w:eastAsia="方正仿宋_GBK" w:cs="方正仿宋_GBK"/>
          <w:kern w:val="2"/>
          <w:sz w:val="32"/>
          <w:szCs w:val="32"/>
          <w:shd w:val="clear" w:color="auto" w:fill="FFFFFF"/>
        </w:rPr>
        <w:t>包括人才培养模式改革情况</w:t>
      </w:r>
      <w:r>
        <w:rPr>
          <w:rFonts w:hint="eastAsia" w:ascii="方正仿宋_GBK" w:hAnsi="方正仿宋_GBK" w:eastAsia="方正仿宋_GBK" w:cs="方正仿宋_GBK"/>
          <w:sz w:val="32"/>
          <w:szCs w:val="32"/>
          <w:shd w:val="clear" w:color="auto" w:fill="FFFFFF"/>
        </w:rPr>
        <w:t>、人才培养方案调整、推进“岗课赛证”综合育人工作情况等。</w:t>
      </w:r>
    </w:p>
    <w:p>
      <w:pPr>
        <w:pStyle w:val="5"/>
        <w:spacing w:before="0" w:beforeAutospacing="0" w:after="0" w:afterAutospacing="0" w:line="360" w:lineRule="auto"/>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kern w:val="2"/>
          <w:sz w:val="32"/>
          <w:szCs w:val="32"/>
        </w:rPr>
        <w:t>3.3</w:t>
      </w: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kern w:val="2"/>
          <w:sz w:val="32"/>
          <w:szCs w:val="32"/>
        </w:rPr>
        <w:t>课程育人。</w:t>
      </w:r>
      <w:r>
        <w:rPr>
          <w:rFonts w:hint="eastAsia" w:ascii="方正仿宋_GBK" w:hAnsi="方正仿宋_GBK" w:eastAsia="方正仿宋_GBK" w:cs="方正仿宋_GBK"/>
          <w:kern w:val="2"/>
          <w:sz w:val="32"/>
          <w:szCs w:val="32"/>
          <w:shd w:val="clear" w:color="auto" w:fill="FFFFFF"/>
        </w:rPr>
        <w:t>包括思政课程与课程思政工作开展情况及成效，地市、省、国家级思想政治课教学创新团队数量、省级及以上思想政治课示范课堂数据等。</w:t>
      </w:r>
    </w:p>
    <w:p>
      <w:pPr>
        <w:pStyle w:val="5"/>
        <w:spacing w:before="0" w:beforeAutospacing="0" w:after="0" w:afterAutospacing="0" w:line="360" w:lineRule="auto"/>
        <w:ind w:firstLine="640" w:firstLineChars="200"/>
        <w:jc w:val="both"/>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rPr>
        <w:t>3.4教学改革。</w:t>
      </w:r>
      <w:r>
        <w:rPr>
          <w:rFonts w:hint="eastAsia" w:ascii="方正仿宋_GBK" w:hAnsi="方正仿宋_GBK" w:eastAsia="方正仿宋_GBK" w:cs="方正仿宋_GBK"/>
          <w:kern w:val="2"/>
          <w:sz w:val="32"/>
          <w:szCs w:val="32"/>
          <w:shd w:val="clear" w:color="auto" w:fill="FFFFFF"/>
        </w:rPr>
        <w:t>包括教师、教材、教法等“三教”改革情况：教师培养培训、提升“双师”素质工作情况、教师大赛工作及成效等，教材建设及改革、数字教学资源建设情况、推进课证融通情况、现代信息技术与职业教育深度融合情况等。</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【典型案例3】 </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4.校企合作</w:t>
      </w:r>
    </w:p>
    <w:p>
      <w:pPr>
        <w:pStyle w:val="5"/>
        <w:spacing w:before="0" w:beforeAutospacing="0" w:after="0" w:afterAutospacing="0" w:line="360" w:lineRule="auto"/>
        <w:ind w:firstLine="640" w:firstLineChars="200"/>
        <w:jc w:val="both"/>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rPr>
        <w:t>4.1校企合作开展基本情况。</w:t>
      </w:r>
      <w:r>
        <w:rPr>
          <w:rFonts w:hint="eastAsia" w:ascii="方正仿宋_GBK" w:hAnsi="方正仿宋_GBK" w:eastAsia="方正仿宋_GBK" w:cs="方正仿宋_GBK"/>
          <w:kern w:val="2"/>
          <w:sz w:val="32"/>
          <w:szCs w:val="32"/>
          <w:shd w:val="clear" w:color="auto" w:fill="FFFFFF"/>
        </w:rPr>
        <w:t>包括校企合作规模、形式及取得的成效，企业提供的实践教学设备总值、生均企业实习经费补贴，校企共同开发课程、教材、企业兼职教师数量、合作企业教师实践基地数等。</w:t>
      </w:r>
    </w:p>
    <w:p>
      <w:pPr>
        <w:pStyle w:val="5"/>
        <w:spacing w:before="0" w:beforeAutospacing="0" w:after="0" w:afterAutospacing="0" w:line="360" w:lineRule="auto"/>
        <w:ind w:firstLine="640" w:firstLineChars="200"/>
        <w:jc w:val="both"/>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rPr>
        <w:t>4.2“双元”育人。</w:t>
      </w:r>
      <w:r>
        <w:rPr>
          <w:rFonts w:hint="eastAsia" w:ascii="方正仿宋_GBK" w:hAnsi="方正仿宋_GBK" w:eastAsia="方正仿宋_GBK" w:cs="方正仿宋_GBK"/>
          <w:kern w:val="2"/>
          <w:sz w:val="32"/>
          <w:szCs w:val="32"/>
          <w:shd w:val="clear" w:color="auto" w:fill="FFFFFF"/>
        </w:rPr>
        <w:t>包括促进产教融合校企双元育人、推进中国特色现代学徒制工作情况、“1+X”证书制度实施情况、合作企业接收学生实习比例等。</w:t>
      </w:r>
    </w:p>
    <w:p>
      <w:pPr>
        <w:pStyle w:val="5"/>
        <w:spacing w:before="0" w:beforeAutospacing="0" w:after="0" w:afterAutospacing="0" w:line="360" w:lineRule="auto"/>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kern w:val="2"/>
          <w:sz w:val="32"/>
          <w:szCs w:val="32"/>
        </w:rPr>
        <w:t>4.3 实习实训。</w:t>
      </w:r>
      <w:r>
        <w:rPr>
          <w:rFonts w:hint="eastAsia" w:ascii="方正仿宋_GBK" w:hAnsi="方正仿宋_GBK" w:eastAsia="方正仿宋_GBK" w:cs="方正仿宋_GBK"/>
          <w:sz w:val="32"/>
          <w:szCs w:val="32"/>
          <w:shd w:val="clear" w:color="auto" w:fill="FFFFFF"/>
        </w:rPr>
        <w:t>包括校内外实习实训基地建设、实习管理等情况。</w:t>
      </w:r>
    </w:p>
    <w:p>
      <w:pPr>
        <w:pStyle w:val="5"/>
        <w:spacing w:before="0" w:beforeAutospacing="0" w:after="0" w:afterAutospacing="0" w:line="360" w:lineRule="auto"/>
        <w:ind w:firstLine="640" w:firstLineChars="200"/>
        <w:jc w:val="both"/>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rPr>
        <w:t>4.4 职教集团。</w:t>
      </w:r>
      <w:r>
        <w:rPr>
          <w:rFonts w:hint="eastAsia" w:ascii="方正仿宋_GBK" w:hAnsi="方正仿宋_GBK" w:eastAsia="方正仿宋_GBK" w:cs="方正仿宋_GBK"/>
          <w:sz w:val="32"/>
          <w:szCs w:val="32"/>
          <w:shd w:val="clear" w:color="auto" w:fill="FFFFFF"/>
        </w:rPr>
        <w:t>包</w:t>
      </w:r>
      <w:r>
        <w:rPr>
          <w:rFonts w:hint="eastAsia" w:ascii="方正仿宋_GBK" w:hAnsi="方正仿宋_GBK" w:eastAsia="方正仿宋_GBK" w:cs="方正仿宋_GBK"/>
          <w:kern w:val="2"/>
          <w:sz w:val="32"/>
          <w:szCs w:val="32"/>
          <w:shd w:val="clear" w:color="auto" w:fill="FFFFFF"/>
        </w:rPr>
        <w:t>括牵头或参与国家、省、市职教集团情况，参与行业协会组织情况，活动开展情况等。</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【典型案例4】 </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5.国际合作</w:t>
      </w:r>
    </w:p>
    <w:p>
      <w:pPr>
        <w:spacing w:line="360" w:lineRule="auto"/>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5.1合作项目。</w:t>
      </w:r>
      <w:r>
        <w:rPr>
          <w:rFonts w:hint="eastAsia" w:ascii="方正仿宋_GBK" w:hAnsi="方正仿宋_GBK" w:eastAsia="方正仿宋_GBK" w:cs="方正仿宋_GBK"/>
          <w:kern w:val="0"/>
          <w:sz w:val="32"/>
          <w:szCs w:val="32"/>
          <w:shd w:val="clear" w:color="auto" w:fill="FFFFFF"/>
        </w:rPr>
        <w:t>包括参与国际合作项目建设、参与国际标准建设情况、参与一带一路建设项目及发展情况等。</w:t>
      </w:r>
    </w:p>
    <w:p>
      <w:pPr>
        <w:spacing w:line="360" w:lineRule="auto"/>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5.2对外交流。</w:t>
      </w:r>
      <w:r>
        <w:rPr>
          <w:rFonts w:hint="eastAsia" w:ascii="方正仿宋_GBK" w:hAnsi="方正仿宋_GBK" w:eastAsia="方正仿宋_GBK" w:cs="方正仿宋_GBK"/>
          <w:sz w:val="32"/>
          <w:szCs w:val="32"/>
          <w:shd w:val="clear" w:color="auto" w:fill="FFFFFF"/>
        </w:rPr>
        <w:t>包括推进国际交流与合作工作情况、人员互访、</w:t>
      </w:r>
      <w:r>
        <w:rPr>
          <w:rFonts w:hint="eastAsia" w:ascii="方正仿宋_GBK" w:hAnsi="方正仿宋_GBK" w:eastAsia="方正仿宋_GBK" w:cs="方正仿宋_GBK"/>
          <w:kern w:val="0"/>
          <w:sz w:val="32"/>
          <w:szCs w:val="32"/>
          <w:shd w:val="clear" w:color="auto" w:fill="FFFFFF"/>
        </w:rPr>
        <w:t>境</w:t>
      </w:r>
      <w:r>
        <w:rPr>
          <w:rFonts w:hint="eastAsia" w:ascii="方正仿宋_GBK" w:hAnsi="方正仿宋_GBK" w:eastAsia="方正仿宋_GBK" w:cs="方正仿宋_GBK"/>
          <w:sz w:val="32"/>
          <w:szCs w:val="32"/>
          <w:shd w:val="clear" w:color="auto" w:fill="FFFFFF"/>
        </w:rPr>
        <w:t>外技术服务和技能培训情况等。</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【典型案例5】 </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6.服务贡献</w:t>
      </w:r>
    </w:p>
    <w:p>
      <w:pPr>
        <w:spacing w:line="360" w:lineRule="auto"/>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6.1人才支撑（技术技能人才培养）。</w:t>
      </w:r>
      <w:r>
        <w:rPr>
          <w:rFonts w:hint="eastAsia" w:ascii="方正仿宋_GBK" w:hAnsi="方正仿宋_GBK" w:eastAsia="方正仿宋_GBK" w:cs="方正仿宋_GBK"/>
          <w:kern w:val="0"/>
          <w:sz w:val="32"/>
          <w:szCs w:val="32"/>
          <w:shd w:val="clear" w:color="auto" w:fill="FFFFFF"/>
        </w:rPr>
        <w:t>包括区域经济社会发展人才需求满足度等。</w:t>
      </w:r>
    </w:p>
    <w:p>
      <w:pPr>
        <w:spacing w:line="360" w:lineRule="auto"/>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6.2社会服务。</w:t>
      </w:r>
      <w:r>
        <w:rPr>
          <w:rFonts w:hint="eastAsia" w:ascii="方正仿宋_GBK" w:hAnsi="方正仿宋_GBK" w:eastAsia="方正仿宋_GBK" w:cs="方正仿宋_GBK"/>
          <w:kern w:val="0"/>
          <w:sz w:val="32"/>
          <w:szCs w:val="32"/>
          <w:shd w:val="clear" w:color="auto" w:fill="FFFFFF"/>
        </w:rPr>
        <w:t>包括培训服务、技术服务、文化传承等情况。</w:t>
      </w:r>
    </w:p>
    <w:p>
      <w:pPr>
        <w:spacing w:line="360" w:lineRule="auto"/>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6.3对口支援。</w:t>
      </w:r>
      <w:r>
        <w:rPr>
          <w:rFonts w:hint="eastAsia" w:ascii="方正仿宋_GBK" w:hAnsi="方正仿宋_GBK" w:eastAsia="方正仿宋_GBK" w:cs="方正仿宋_GBK"/>
          <w:kern w:val="0"/>
          <w:sz w:val="32"/>
          <w:szCs w:val="32"/>
          <w:shd w:val="clear" w:color="auto" w:fill="FFFFFF"/>
        </w:rPr>
        <w:t>包括东西部对口帮扶、校际帮扶、对口扶贫等相关情况。</w:t>
      </w:r>
    </w:p>
    <w:p>
      <w:pPr>
        <w:spacing w:line="360" w:lineRule="auto"/>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6.4服务抗疫。</w:t>
      </w:r>
      <w:r>
        <w:rPr>
          <w:rFonts w:hint="eastAsia" w:ascii="方正仿宋_GBK" w:hAnsi="方正仿宋_GBK" w:eastAsia="方正仿宋_GBK" w:cs="方正仿宋_GBK"/>
          <w:kern w:val="0"/>
          <w:sz w:val="32"/>
          <w:szCs w:val="32"/>
          <w:shd w:val="clear" w:color="auto" w:fill="FFFFFF"/>
        </w:rPr>
        <w:t>疫情防控工作的具体做法、效果等。</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【典型案例6】 </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7.政策保障</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7.1政策支持</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7.2经费保障</w:t>
      </w:r>
    </w:p>
    <w:p>
      <w:pPr>
        <w:pStyle w:val="5"/>
        <w:spacing w:before="0" w:beforeAutospacing="0" w:after="0" w:afterAutospacing="0" w:line="360" w:lineRule="auto"/>
        <w:ind w:firstLine="640" w:firstLineChars="200"/>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rPr>
        <w:t>7.3质量保障。</w:t>
      </w:r>
      <w:r>
        <w:rPr>
          <w:rFonts w:hint="eastAsia" w:ascii="方正仿宋_GBK" w:hAnsi="方正仿宋_GBK" w:eastAsia="方正仿宋_GBK" w:cs="方正仿宋_GBK"/>
          <w:kern w:val="2"/>
          <w:sz w:val="32"/>
          <w:szCs w:val="32"/>
          <w:shd w:val="clear" w:color="auto" w:fill="FFFFFF"/>
        </w:rPr>
        <w:t>包括教学督导情况、教学诊断与改进工作情况、质量年度报告制度等。</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【典型案例7】 </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8.学校党建</w:t>
      </w:r>
    </w:p>
    <w:p>
      <w:pPr>
        <w:spacing w:line="578"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8.1健全党建工作管理体制。</w:t>
      </w:r>
      <w:r>
        <w:rPr>
          <w:rFonts w:hint="eastAsia" w:ascii="方正仿宋_GBK" w:hAnsi="方正仿宋_GBK" w:eastAsia="方正仿宋_GBK" w:cs="方正仿宋_GBK"/>
          <w:kern w:val="0"/>
          <w:sz w:val="32"/>
          <w:szCs w:val="32"/>
          <w:shd w:val="clear" w:color="auto" w:fill="FFFFFF"/>
        </w:rPr>
        <w:t>包括规章制度建设情况、管理举措及党组织落实责任情况。</w:t>
      </w:r>
    </w:p>
    <w:p>
      <w:pPr>
        <w:spacing w:line="578"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8.2推动德育思政工作。</w:t>
      </w:r>
      <w:r>
        <w:rPr>
          <w:rFonts w:hint="eastAsia" w:ascii="方正仿宋_GBK" w:hAnsi="方正仿宋_GBK" w:eastAsia="方正仿宋_GBK" w:cs="方正仿宋_GBK"/>
          <w:kern w:val="0"/>
          <w:sz w:val="32"/>
          <w:szCs w:val="32"/>
          <w:shd w:val="clear" w:color="auto" w:fill="FFFFFF"/>
        </w:rPr>
        <w:t>包括推进学校德育和思想政治工作情况、举办的活动、推进师德师风建设情况等。</w:t>
      </w:r>
    </w:p>
    <w:p>
      <w:pPr>
        <w:spacing w:line="578"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8.3加强党的组织建设。</w:t>
      </w:r>
      <w:r>
        <w:rPr>
          <w:rFonts w:hint="eastAsia" w:ascii="方正仿宋_GBK" w:hAnsi="方正仿宋_GBK" w:eastAsia="方正仿宋_GBK" w:cs="方正仿宋_GBK"/>
          <w:kern w:val="0"/>
          <w:sz w:val="32"/>
          <w:szCs w:val="32"/>
          <w:shd w:val="clear" w:color="auto" w:fill="FFFFFF"/>
        </w:rPr>
        <w:t>包括党建制度建立健全情况、活动开展情况、廉政建设等情况。</w:t>
      </w:r>
    </w:p>
    <w:p>
      <w:pPr>
        <w:spacing w:line="578"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8.4发挥政治核心作用。</w:t>
      </w:r>
      <w:r>
        <w:rPr>
          <w:rFonts w:hint="eastAsia" w:ascii="方正仿宋_GBK" w:hAnsi="方正仿宋_GBK" w:eastAsia="方正仿宋_GBK" w:cs="方正仿宋_GBK"/>
          <w:kern w:val="0"/>
          <w:sz w:val="32"/>
          <w:szCs w:val="32"/>
          <w:shd w:val="clear" w:color="auto" w:fill="FFFFFF"/>
        </w:rPr>
        <w:t>包括党建核心作用发挥情况、党员干部理想信念教育情况、优秀人才培养情况等。</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【典型案例8】 </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9.机遇与挑战</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9.1机遇</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9.2挑战</w:t>
      </w:r>
    </w:p>
    <w:p>
      <w:pPr>
        <w:spacing w:line="360" w:lineRule="auto"/>
        <w:rPr>
          <w:rFonts w:hint="eastAsia" w:ascii="方正仿宋_GBK" w:hAnsi="方正仿宋_GBK" w:eastAsia="方正仿宋_GBK" w:cs="方正仿宋_GBK"/>
          <w:sz w:val="32"/>
          <w:szCs w:val="32"/>
        </w:rPr>
      </w:pPr>
    </w:p>
    <w:p>
      <w:pPr>
        <w:spacing w:line="360" w:lineRule="auto"/>
        <w:rPr>
          <w:rFonts w:hint="eastAsia" w:ascii="方正仿宋_GBK" w:hAnsi="方正仿宋_GBK" w:eastAsia="方正仿宋_GBK" w:cs="方正仿宋_GBK"/>
          <w:sz w:val="32"/>
          <w:szCs w:val="32"/>
        </w:rPr>
      </w:pPr>
    </w:p>
    <w:p>
      <w:pPr>
        <w:spacing w:line="360" w:lineRule="auto"/>
        <w:rPr>
          <w:rFonts w:hint="eastAsia" w:ascii="方正仿宋_GBK" w:hAnsi="方正仿宋_GBK" w:eastAsia="方正仿宋_GBK" w:cs="方正仿宋_GBK"/>
          <w:sz w:val="32"/>
          <w:szCs w:val="32"/>
        </w:rPr>
      </w:pPr>
    </w:p>
    <w:p>
      <w:pPr>
        <w:spacing w:line="360" w:lineRule="auto"/>
        <w:rPr>
          <w:rFonts w:hint="eastAsia" w:ascii="方正仿宋_GBK" w:hAnsi="方正仿宋_GBK" w:eastAsia="方正仿宋_GBK" w:cs="方正仿宋_GBK"/>
          <w:sz w:val="32"/>
          <w:szCs w:val="32"/>
        </w:rPr>
      </w:pPr>
    </w:p>
    <w:p>
      <w:pPr>
        <w:spacing w:line="360" w:lineRule="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eastAsia="zh-CN"/>
        </w:rPr>
        <w:t>教育行政部</w:t>
      </w:r>
      <w:bookmarkStart w:id="0" w:name="_GoBack"/>
      <w:r>
        <w:rPr>
          <w:rFonts w:hint="eastAsia" w:ascii="Times New Roman" w:hAnsi="Times New Roman" w:eastAsia="方正小标宋简体" w:cs="Times New Roman"/>
          <w:kern w:val="0"/>
          <w:sz w:val="44"/>
          <w:szCs w:val="44"/>
          <w:lang w:eastAsia="zh-CN"/>
        </w:rPr>
        <w:t>门中等职业教育质</w:t>
      </w:r>
      <w:bookmarkEnd w:id="0"/>
      <w:r>
        <w:rPr>
          <w:rFonts w:hint="eastAsia" w:ascii="Times New Roman" w:hAnsi="Times New Roman" w:eastAsia="方正小标宋简体" w:cs="Times New Roman"/>
          <w:kern w:val="0"/>
          <w:sz w:val="44"/>
          <w:szCs w:val="44"/>
          <w:lang w:eastAsia="zh-CN"/>
        </w:rPr>
        <w:t>量年度报告（2022）典型案例编写要求</w:t>
      </w:r>
    </w:p>
    <w:p>
      <w:pPr>
        <w:ind w:firstLine="3520" w:firstLineChars="800"/>
        <w:rPr>
          <w:rFonts w:hint="eastAsia" w:ascii="方正小标宋简体" w:hAnsi="方正小标宋简体" w:eastAsia="方正小标宋简体" w:cs="方正小标宋简体"/>
          <w:sz w:val="44"/>
          <w:szCs w:val="44"/>
        </w:rPr>
      </w:pPr>
    </w:p>
    <w:p>
      <w:pPr>
        <w:pStyle w:val="5"/>
        <w:spacing w:before="240" w:beforeAutospacing="0" w:after="0" w:afterAutospacing="0" w:line="360" w:lineRule="auto"/>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1.案例主题。各地市进行全面总结和系统梳理，重点展示贯彻全国职业教育大会精神的关键举措，特别是服务国家战略、服务地方发展、开展技术研发、服务行业企业、服务学生发展等方面的典型案例。</w:t>
      </w:r>
      <w:r>
        <w:rPr>
          <w:rFonts w:hint="eastAsia" w:ascii="方正仿宋_GBK" w:hAnsi="方正仿宋_GBK" w:eastAsia="方正仿宋_GBK" w:cs="方正仿宋_GBK"/>
          <w:sz w:val="32"/>
          <w:szCs w:val="32"/>
          <w:shd w:val="clear" w:color="auto" w:fill="FFFFFF"/>
        </w:rPr>
        <w:t>“基本情况”“学生发展”“教育教学”“</w:t>
      </w:r>
      <w:r>
        <w:rPr>
          <w:rFonts w:hint="eastAsia" w:ascii="方正仿宋_GBK" w:hAnsi="方正仿宋_GBK" w:eastAsia="方正仿宋_GBK" w:cs="方正仿宋_GBK"/>
          <w:sz w:val="32"/>
          <w:szCs w:val="32"/>
        </w:rPr>
        <w:t>校企合作</w:t>
      </w:r>
      <w:r>
        <w:rPr>
          <w:rFonts w:hint="eastAsia" w:ascii="方正仿宋_GBK" w:hAnsi="方正仿宋_GBK" w:eastAsia="方正仿宋_GBK" w:cs="方正仿宋_GBK"/>
          <w:sz w:val="32"/>
          <w:szCs w:val="32"/>
          <w:shd w:val="clear" w:color="auto" w:fill="FFFFFF"/>
        </w:rPr>
        <w:t>”“国际合作”“服务贡献”“政策保障”“学校党建”等每个主题模块至少提供1个典型案例。</w:t>
      </w:r>
    </w:p>
    <w:p>
      <w:pPr>
        <w:widowControl/>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2.案例内容。典型案例一般应包括：案例背景、主要做法、工作成效、示范引领等，案例篇幅控制在2000字左右。</w:t>
      </w:r>
    </w:p>
    <w:p>
      <w:pPr>
        <w:widowControl/>
        <w:spacing w:line="360" w:lineRule="auto"/>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3.案例格式。案例应主旨明确、</w:t>
      </w:r>
      <w:r>
        <w:rPr>
          <w:rFonts w:hint="eastAsia" w:ascii="方正仿宋_GBK" w:hAnsi="方正仿宋_GBK" w:eastAsia="方正仿宋_GBK" w:cs="方正仿宋_GBK"/>
          <w:kern w:val="0"/>
          <w:sz w:val="32"/>
          <w:szCs w:val="32"/>
        </w:rPr>
        <w:t>层次分明、逻辑性强、语言凝练、图文并茂（图片采用JPG格式，分辨率应达到300dpi，须注明单位名称、标题等）。</w:t>
      </w:r>
    </w:p>
    <w:p>
      <w:pPr>
        <w:spacing w:line="360" w:lineRule="auto"/>
        <w:rPr>
          <w:rFonts w:hint="eastAsia" w:ascii="方正仿宋_GBK" w:hAnsi="方正仿宋_GBK" w:eastAsia="方正仿宋_GBK" w:cs="方正仿宋_GBK"/>
          <w:kern w:val="0"/>
          <w:sz w:val="32"/>
          <w:szCs w:val="32"/>
        </w:rPr>
      </w:pPr>
    </w:p>
    <w:p>
      <w:pPr>
        <w:spacing w:line="360" w:lineRule="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0D"/>
    <w:rsid w:val="000104DB"/>
    <w:rsid w:val="00057696"/>
    <w:rsid w:val="000709D4"/>
    <w:rsid w:val="000A1D42"/>
    <w:rsid w:val="000D5B83"/>
    <w:rsid w:val="000E7700"/>
    <w:rsid w:val="001167B1"/>
    <w:rsid w:val="00147A50"/>
    <w:rsid w:val="001712B6"/>
    <w:rsid w:val="00172AF6"/>
    <w:rsid w:val="0017443C"/>
    <w:rsid w:val="001B5809"/>
    <w:rsid w:val="00223474"/>
    <w:rsid w:val="00256BD6"/>
    <w:rsid w:val="002571C2"/>
    <w:rsid w:val="00263C7F"/>
    <w:rsid w:val="00294135"/>
    <w:rsid w:val="002A1251"/>
    <w:rsid w:val="00313950"/>
    <w:rsid w:val="003641CF"/>
    <w:rsid w:val="00372976"/>
    <w:rsid w:val="00391CBF"/>
    <w:rsid w:val="003E222D"/>
    <w:rsid w:val="003E561F"/>
    <w:rsid w:val="003E612F"/>
    <w:rsid w:val="00401FA9"/>
    <w:rsid w:val="00405ED6"/>
    <w:rsid w:val="00407A0F"/>
    <w:rsid w:val="0041029F"/>
    <w:rsid w:val="00460C56"/>
    <w:rsid w:val="00484C20"/>
    <w:rsid w:val="004A047B"/>
    <w:rsid w:val="004E1460"/>
    <w:rsid w:val="0056354F"/>
    <w:rsid w:val="005859A4"/>
    <w:rsid w:val="0059230F"/>
    <w:rsid w:val="00594509"/>
    <w:rsid w:val="005D3A7D"/>
    <w:rsid w:val="005E0736"/>
    <w:rsid w:val="005F5F96"/>
    <w:rsid w:val="00622D26"/>
    <w:rsid w:val="0063526E"/>
    <w:rsid w:val="006416B7"/>
    <w:rsid w:val="0067442C"/>
    <w:rsid w:val="006830AA"/>
    <w:rsid w:val="00683861"/>
    <w:rsid w:val="006B5C92"/>
    <w:rsid w:val="006C5BBD"/>
    <w:rsid w:val="006C68BE"/>
    <w:rsid w:val="006E77F7"/>
    <w:rsid w:val="006F250D"/>
    <w:rsid w:val="00704646"/>
    <w:rsid w:val="007342D2"/>
    <w:rsid w:val="00754FDE"/>
    <w:rsid w:val="0075648A"/>
    <w:rsid w:val="00765B6E"/>
    <w:rsid w:val="00774DD9"/>
    <w:rsid w:val="0078658E"/>
    <w:rsid w:val="007A58F1"/>
    <w:rsid w:val="008061BC"/>
    <w:rsid w:val="008142B9"/>
    <w:rsid w:val="00823702"/>
    <w:rsid w:val="00862684"/>
    <w:rsid w:val="00897309"/>
    <w:rsid w:val="008A4A74"/>
    <w:rsid w:val="008F3D1E"/>
    <w:rsid w:val="00944A15"/>
    <w:rsid w:val="009565DF"/>
    <w:rsid w:val="00972774"/>
    <w:rsid w:val="009C53CB"/>
    <w:rsid w:val="009E3B27"/>
    <w:rsid w:val="00A0366F"/>
    <w:rsid w:val="00A05FFD"/>
    <w:rsid w:val="00A11939"/>
    <w:rsid w:val="00A7138E"/>
    <w:rsid w:val="00AA6F3D"/>
    <w:rsid w:val="00AC1140"/>
    <w:rsid w:val="00AF687B"/>
    <w:rsid w:val="00B22BD5"/>
    <w:rsid w:val="00BA5EFD"/>
    <w:rsid w:val="00BC6C6C"/>
    <w:rsid w:val="00BF4944"/>
    <w:rsid w:val="00C20CD3"/>
    <w:rsid w:val="00C358A3"/>
    <w:rsid w:val="00C449BC"/>
    <w:rsid w:val="00C5683C"/>
    <w:rsid w:val="00C90426"/>
    <w:rsid w:val="00C921E9"/>
    <w:rsid w:val="00CC27A4"/>
    <w:rsid w:val="00D03D47"/>
    <w:rsid w:val="00D33E3F"/>
    <w:rsid w:val="00D3616D"/>
    <w:rsid w:val="00D568F7"/>
    <w:rsid w:val="00D963C1"/>
    <w:rsid w:val="00DC3023"/>
    <w:rsid w:val="00DE07DA"/>
    <w:rsid w:val="00DE41A4"/>
    <w:rsid w:val="00DF3C66"/>
    <w:rsid w:val="00E035D1"/>
    <w:rsid w:val="00E11893"/>
    <w:rsid w:val="00E4293A"/>
    <w:rsid w:val="00E91D32"/>
    <w:rsid w:val="00EC3074"/>
    <w:rsid w:val="00F44C6D"/>
    <w:rsid w:val="00F7672B"/>
    <w:rsid w:val="00FB42F7"/>
    <w:rsid w:val="00FE5E1D"/>
    <w:rsid w:val="3D052A5D"/>
    <w:rsid w:val="65747C65"/>
    <w:rsid w:val="657E1EA7"/>
    <w:rsid w:val="6E020319"/>
    <w:rsid w:val="6FEB0271"/>
    <w:rsid w:val="7D405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294</Words>
  <Characters>1677</Characters>
  <Lines>13</Lines>
  <Paragraphs>3</Paragraphs>
  <TotalTime>0</TotalTime>
  <ScaleCrop>false</ScaleCrop>
  <LinksUpToDate>false</LinksUpToDate>
  <CharactersWithSpaces>1968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2021-09-23T07:06:00Z</dcterms:created>
  <dc:creator>郭雪峰</dc:creator>
  <cp:lastModifiedBy>徐鑫森</cp:lastModifiedBy>
  <cp:lastPrinted>2021-09-27T10:08:00Z</cp:lastPrinted>
  <dcterms:modified xsi:type="dcterms:W3CDTF">2021-09-27T12:32:08Z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